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Analiza kretanja broja učenika osnovnih škola i broja upisanih u 1. razred osnovne škole za opštinu Sjenica</w:t>
      </w:r>
      <w:r>
        <w:rPr>
          <w:rFonts w:ascii="Times New Roman" w:hAnsi="Times New Roman" w:eastAsia="Times New Roman" w:cs="Times New Roman"/>
          <w:b/>
          <w:bCs/>
          <w:color w:val="000000"/>
          <w:sz w:val="28"/>
          <w:szCs w:val="28"/>
          <w:highlight w:val="none"/>
        </w:rP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Praćenje broja učenika osnovnih škola i učenika 1. razreda ključno je za razumevanje demografskih i obrazovnih trendova u Sjenici. Kao opština sa specifičnim demografskim karakteristikama, Sjenica beleži promene u broju učenika, što odražava šire društvene</w:t>
      </w:r>
      <w:r>
        <w:rPr>
          <w:rFonts w:ascii="Times New Roman" w:hAnsi="Times New Roman" w:eastAsia="Times New Roman" w:cs="Times New Roman"/>
          <w:color w:val="000000"/>
          <w:sz w:val="24"/>
        </w:rPr>
        <w:t xml:space="preserve">, ekonomske i migracione tokove. Ova analiza obuhvata period od školske 2014/15 do 2023/24 godine, uz projekcije za 2031. i 2041. godinu, s ciljem sagledavanja izazova i definisanja strategija za očuvanje stabilnosti obrazovnog sistema.</w:t>
      </w: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Tabela sa vrednostima po godinama za Sjenicu</w:t>
      </w:r>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60"/>
        <w:gridCol w:w="2190"/>
        <w:gridCol w:w="2430"/>
      </w:tblGrid>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Školska godina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Ukupan broj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Broj učenika 1. razreda</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2014/15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2.958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336</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2015/16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2.910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338</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2016/17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2.871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327</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2017/18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2.829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331</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2018/19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2.745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335</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2019/20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2.675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319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2020/21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2.612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298</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2021/22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2.495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2022/23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2.426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2023/24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2.356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308</w:t>
            </w:r>
            <w:r/>
            <w:r/>
          </w:p>
        </w:tc>
      </w:tr>
    </w:tbl>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Komentari na tabelu</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1. Ukupan broj učenika (2014/15–2023/24):</w:t>
      </w:r>
      <w:r/>
      <w:r/>
    </w:p>
    <w:p>
      <w:pPr>
        <w:pStyle w:val="605"/>
        <w:numPr>
          <w:ilvl w:val="0"/>
          <w:numId w:val="15"/>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opao je sa </w:t>
      </w:r>
      <w:r>
        <w:rPr>
          <w:rFonts w:ascii="Times New Roman" w:hAnsi="Times New Roman" w:eastAsia="Times New Roman" w:cs="Times New Roman"/>
          <w:b/>
          <w:color w:val="000000"/>
          <w:sz w:val="24"/>
        </w:rPr>
        <w:t xml:space="preserve">2.958 (2014/15)</w:t>
      </w:r>
      <w:r>
        <w:rPr>
          <w:rFonts w:ascii="Times New Roman" w:hAnsi="Times New Roman" w:eastAsia="Times New Roman" w:cs="Times New Roman"/>
          <w:color w:val="000000"/>
          <w:sz w:val="24"/>
        </w:rPr>
        <w:t xml:space="preserve"> na </w:t>
      </w:r>
      <w:r>
        <w:rPr>
          <w:rFonts w:ascii="Times New Roman" w:hAnsi="Times New Roman" w:eastAsia="Times New Roman" w:cs="Times New Roman"/>
          <w:b/>
          <w:color w:val="000000"/>
          <w:sz w:val="24"/>
        </w:rPr>
        <w:t xml:space="preserve">2.356 (2023/24)</w:t>
      </w:r>
      <w:r>
        <w:rPr>
          <w:rFonts w:ascii="Times New Roman" w:hAnsi="Times New Roman" w:eastAsia="Times New Roman" w:cs="Times New Roman"/>
          <w:color w:val="000000"/>
          <w:sz w:val="24"/>
        </w:rPr>
        <w:t xml:space="preserve">, što predstavlja smanjenje od </w:t>
      </w:r>
      <w:r>
        <w:rPr>
          <w:rFonts w:ascii="Times New Roman" w:hAnsi="Times New Roman" w:eastAsia="Times New Roman" w:cs="Times New Roman"/>
          <w:b/>
          <w:color w:val="000000"/>
          <w:sz w:val="24"/>
        </w:rPr>
        <w:t xml:space="preserve">602 učenika</w:t>
      </w:r>
      <w:r>
        <w:rPr>
          <w:rFonts w:ascii="Times New Roman" w:hAnsi="Times New Roman" w:eastAsia="Times New Roman" w:cs="Times New Roman"/>
          <w:color w:val="000000"/>
          <w:sz w:val="24"/>
        </w:rPr>
        <w:t xml:space="preserve"> ili </w:t>
      </w:r>
      <w:r>
        <w:rPr>
          <w:rFonts w:ascii="Times New Roman" w:hAnsi="Times New Roman" w:eastAsia="Times New Roman" w:cs="Times New Roman"/>
          <w:b/>
          <w:color w:val="000000"/>
          <w:sz w:val="24"/>
        </w:rPr>
        <w:t xml:space="preserve">20,35%</w:t>
      </w:r>
      <w:r>
        <w:rPr>
          <w:rFonts w:ascii="Times New Roman" w:hAnsi="Times New Roman" w:eastAsia="Times New Roman" w:cs="Times New Roman"/>
          <w:color w:val="000000"/>
          <w:sz w:val="24"/>
        </w:rPr>
        <w:t xml:space="preserve"> u periodu od 9 godina.</w:t>
      </w:r>
      <w:r/>
      <w:r/>
    </w:p>
    <w:p>
      <w:pPr>
        <w:pStyle w:val="605"/>
        <w:numPr>
          <w:ilvl w:val="0"/>
          <w:numId w:val="16"/>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Pad je kontinuiran, sa manjim oscilacijama. Najveći broj učenika zabeležen je u početnoj godini (2014/15), dok je najniži broj zabeležen u 2023/24.</w:t>
      </w: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4090688" cy="252940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7497" name=""/>
                        <pic:cNvPicPr>
                          <a:picLocks noChangeAspect="1"/>
                        </pic:cNvPicPr>
                        <pic:nvPr/>
                      </pic:nvPicPr>
                      <pic:blipFill>
                        <a:blip r:embed="rId11"/>
                        <a:stretch/>
                      </pic:blipFill>
                      <pic:spPr bwMode="auto">
                        <a:xfrm flipH="0" flipV="0">
                          <a:off x="0" y="0"/>
                          <a:ext cx="4090686" cy="252940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22.1pt;height:199.2pt;mso-wrap-distance-left:0.0pt;mso-wrap-distance-top:0.0pt;mso-wrap-distance-right:0.0pt;mso-wrap-distance-bottom:0.0pt;" stroked="false">
                <v:path textboxrect="0,0,0,0"/>
                <v:imagedata r:id="rId11" o:title=""/>
              </v:shape>
            </w:pict>
          </mc:Fallback>
        </mc:AlternateContent>
      </w:r>
      <w:r>
        <w:rPr>
          <w:rFonts w:ascii="Times New Roman" w:hAnsi="Times New Roman" w:eastAsia="Times New Roman" w:cs="Times New Roman"/>
          <w:sz w:val="24"/>
          <w:szCs w:val="24"/>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Broj učenika 1. razreda (2014/15–2023/24):</w:t>
      </w:r>
      <w:r/>
      <w:r/>
    </w:p>
    <w:p>
      <w:pPr>
        <w:pStyle w:val="605"/>
        <w:numPr>
          <w:ilvl w:val="0"/>
          <w:numId w:val="17"/>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smanjen je sa </w:t>
      </w:r>
      <w:r>
        <w:rPr>
          <w:rFonts w:ascii="Times New Roman" w:hAnsi="Times New Roman" w:eastAsia="Times New Roman" w:cs="Times New Roman"/>
          <w:b/>
          <w:color w:val="000000"/>
          <w:sz w:val="24"/>
        </w:rPr>
        <w:t xml:space="preserve">336 (2014/15)</w:t>
      </w:r>
      <w:r>
        <w:rPr>
          <w:rFonts w:ascii="Times New Roman" w:hAnsi="Times New Roman" w:eastAsia="Times New Roman" w:cs="Times New Roman"/>
          <w:color w:val="000000"/>
          <w:sz w:val="24"/>
        </w:rPr>
        <w:t xml:space="preserve"> na </w:t>
      </w:r>
      <w:r>
        <w:rPr>
          <w:rFonts w:ascii="Times New Roman" w:hAnsi="Times New Roman" w:eastAsia="Times New Roman" w:cs="Times New Roman"/>
          <w:b/>
          <w:color w:val="000000"/>
          <w:sz w:val="24"/>
        </w:rPr>
        <w:t xml:space="preserve">308 (2023/24)</w:t>
      </w:r>
      <w:r>
        <w:rPr>
          <w:rFonts w:ascii="Times New Roman" w:hAnsi="Times New Roman" w:eastAsia="Times New Roman" w:cs="Times New Roman"/>
          <w:color w:val="000000"/>
          <w:sz w:val="24"/>
        </w:rPr>
        <w:t xml:space="preserve">, što predstavlja pad od </w:t>
      </w:r>
      <w:r>
        <w:rPr>
          <w:rFonts w:ascii="Times New Roman" w:hAnsi="Times New Roman" w:eastAsia="Times New Roman" w:cs="Times New Roman"/>
          <w:b/>
          <w:color w:val="000000"/>
          <w:sz w:val="24"/>
        </w:rPr>
        <w:t xml:space="preserve">8,33%</w:t>
      </w:r>
      <w:r>
        <w:rPr>
          <w:rFonts w:ascii="Times New Roman" w:hAnsi="Times New Roman" w:eastAsia="Times New Roman" w:cs="Times New Roman"/>
          <w:color w:val="000000"/>
          <w:sz w:val="24"/>
        </w:rPr>
        <w:t xml:space="preserve"> ili </w:t>
      </w:r>
      <w:r>
        <w:rPr>
          <w:rFonts w:ascii="Times New Roman" w:hAnsi="Times New Roman" w:eastAsia="Times New Roman" w:cs="Times New Roman"/>
          <w:b/>
          <w:color w:val="000000"/>
          <w:sz w:val="24"/>
        </w:rPr>
        <w:t xml:space="preserve">28 učenika</w:t>
      </w:r>
      <w:r>
        <w:rPr>
          <w:rFonts w:ascii="Times New Roman" w:hAnsi="Times New Roman" w:eastAsia="Times New Roman" w:cs="Times New Roman"/>
          <w:color w:val="000000"/>
          <w:sz w:val="24"/>
        </w:rPr>
        <w:t xml:space="preserve">.</w:t>
      </w:r>
      <w:r/>
      <w:r/>
    </w:p>
    <w:p>
      <w:pPr>
        <w:pStyle w:val="605"/>
        <w:numPr>
          <w:ilvl w:val="0"/>
          <w:numId w:val="18"/>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Najveći broj učenika 1. razreda zabeležen je u 2015/16 (338), dok je najmanji broj zabeležen u 2022/23 (290).</w:t>
      </w:r>
      <w:r/>
      <w:r/>
    </w:p>
    <w:p>
      <w:pPr>
        <w:pStyle w:val="605"/>
        <w:numPr>
          <w:ilvl w:val="0"/>
          <w:numId w:val="19"/>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Pad broja prvaka je manje izražen u poređenju sa padom ukupnog broja učenika, što ukazuje na relativnu stabilnost mlađih uzrasta.</w:t>
      </w: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4591329" cy="283897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11762" name=""/>
                        <pic:cNvPicPr>
                          <a:picLocks noChangeAspect="1"/>
                        </pic:cNvPicPr>
                        <pic:nvPr/>
                      </pic:nvPicPr>
                      <pic:blipFill>
                        <a:blip r:embed="rId12"/>
                        <a:stretch/>
                      </pic:blipFill>
                      <pic:spPr bwMode="auto">
                        <a:xfrm flipH="0" flipV="0">
                          <a:off x="0" y="0"/>
                          <a:ext cx="4591327" cy="28389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61.5pt;height:223.5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sz w:val="24"/>
          <w:szCs w:val="24"/>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Oscilacije i trendovi:</w:t>
      </w:r>
      <w:r/>
      <w:r/>
    </w:p>
    <w:p>
      <w:pPr>
        <w:pStyle w:val="605"/>
        <w:numPr>
          <w:ilvl w:val="0"/>
          <w:numId w:val="20"/>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Stagnacija do 2017/18:</w:t>
      </w:r>
      <w:r>
        <w:rPr>
          <w:rFonts w:ascii="Times New Roman" w:hAnsi="Times New Roman" w:eastAsia="Times New Roman" w:cs="Times New Roman"/>
          <w:color w:val="000000"/>
          <w:sz w:val="24"/>
        </w:rPr>
        <w:t xml:space="preserve"> Broj ukupnih učenika i prvaka bio je relativno stabilan sa manjim oscilacijama.</w:t>
      </w:r>
      <w:r/>
      <w:r/>
    </w:p>
    <w:p>
      <w:pPr>
        <w:pStyle w:val="605"/>
        <w:numPr>
          <w:ilvl w:val="0"/>
          <w:numId w:val="21"/>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Postepeni pad nakon 2018/19:</w:t>
      </w:r>
      <w:r>
        <w:rPr>
          <w:rFonts w:ascii="Times New Roman" w:hAnsi="Times New Roman" w:eastAsia="Times New Roman" w:cs="Times New Roman"/>
          <w:color w:val="000000"/>
          <w:sz w:val="24"/>
        </w:rPr>
        <w:t xml:space="preserve"> Broj učenika počinje da opada značajnijim tempom, što ukazuje na smanjenje nataliteta i migracije.</w:t>
      </w:r>
      <w:r/>
      <w:r/>
    </w:p>
    <w:p>
      <w:pPr>
        <w:pStyle w:val="605"/>
        <w:numPr>
          <w:ilvl w:val="0"/>
          <w:numId w:val="22"/>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Relativna stabilnost broja prvaka:</w:t>
      </w:r>
      <w:r>
        <w:rPr>
          <w:rFonts w:ascii="Times New Roman" w:hAnsi="Times New Roman" w:eastAsia="Times New Roman" w:cs="Times New Roman"/>
          <w:color w:val="000000"/>
          <w:sz w:val="24"/>
        </w:rPr>
        <w:t xml:space="preserve"> U poređenju sa ukupnim brojem učenika, pad broja prvaka je manje izražen, što ukazuje na potencijalno očuvanje nataliteta.</w:t>
      </w: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Bazični indeksi (bazna godina: 2014/15)</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Bazični indeks = (Vrednost u datoj godini / Vrednost u 2014/15)×100</w:t>
      </w:r>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12"/>
        <w:gridCol w:w="1686"/>
        <w:gridCol w:w="2529"/>
        <w:gridCol w:w="1871"/>
        <w:gridCol w:w="2656"/>
      </w:tblGrid>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Godina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Ukupan broj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Bazični indeks ukupnih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Broj učenika 1. razreda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Bazični indeks učenika 1. razreda</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2014/15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2.958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100,00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100,00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2015/16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2.910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98,38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100,60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2016/17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2.871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97,06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327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97,32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2017/18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2.829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95,65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98,51</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2018/19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2.745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92,80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335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99,70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2019/20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2.675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90,41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319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94,94</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2020/21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2.612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88,31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88,69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2021/22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2.495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84,33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86,90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2022/23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2.426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81,99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290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86,31</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2023/24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2.356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79,63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308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91,67</w:t>
            </w:r>
            <w:r/>
            <w:r/>
          </w:p>
        </w:tc>
      </w:tr>
    </w:tbl>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Projekcije za 2031. i 2041. godinu</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Projekcija ukupnog broja učenika</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Prosečan godišnji pad ukupnog broja učenika (2014/15–2023/24):</w:t>
      </w:r>
      <w:r>
        <w:rPr>
          <w:rFonts w:ascii="Times New Roman" w:hAnsi="Times New Roman" w:eastAsia="Times New Roman" w:cs="Times New Roman"/>
          <w:color w:val="000000"/>
          <w:sz w:val="24"/>
        </w:rPr>
        <w:t xml:space="preserve"> -2,34%</w:t>
      </w:r>
      <w:r>
        <w:t xml:space="preserve"> </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Projekcija:</w:t>
      </w: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2031 ≈ 2.051, </w:t>
      </w:r>
      <w:r>
        <w:rPr>
          <w:rFonts w:ascii="Times New Roman" w:hAnsi="Times New Roman" w:eastAsia="Times New Roman" w:cs="Times New Roman"/>
          <w:color w:val="000000"/>
          <w:sz w:val="24"/>
          <w:szCs w:val="24"/>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2041 ≈ 1.662 </w:t>
      </w:r>
      <w:r>
        <w:rPr>
          <w:rFonts w:ascii="Times New Roman" w:hAnsi="Times New Roman" w:eastAsia="Times New Roman" w:cs="Times New Roman"/>
          <w:color w:val="000000"/>
          <w:sz w:val="24"/>
          <w:szCs w:val="24"/>
          <w:highlight w:val="none"/>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Projekcija broja učenika 1. razreda</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Prosečan godišnji pad broja učenika 1. razreda (2014/15–2023/24):</w:t>
      </w:r>
      <w:r>
        <w:rPr>
          <w:rFonts w:ascii="Times New Roman" w:hAnsi="Times New Roman" w:eastAsia="Times New Roman" w:cs="Times New Roman"/>
          <w:color w:val="000000"/>
          <w:sz w:val="24"/>
        </w:rPr>
        <w:t xml:space="preserve"> -0,92\%</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Projekcija:</w:t>
      </w: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2031 ≈ 288,</w:t>
      </w:r>
      <w:r>
        <w:rPr>
          <w:rFonts w:ascii="Times New Roman" w:hAnsi="Times New Roman" w:eastAsia="Times New Roman" w:cs="Times New Roman"/>
          <w:color w:val="000000"/>
          <w:sz w:val="24"/>
          <w:szCs w:val="24"/>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2041 ≈ 262</w:t>
      </w:r>
      <w:r>
        <w:rPr>
          <w:rFonts w:ascii="Times New Roman" w:hAnsi="Times New Roman" w:eastAsia="Times New Roman" w:cs="Times New Roman"/>
          <w:sz w:val="24"/>
          <w:szCs w:val="24"/>
        </w:rP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Zaključci</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A) Kretanje broja učenika (2014/15–2023/24):</w:t>
      </w:r>
      <w:r/>
      <w:r/>
    </w:p>
    <w:p>
      <w:pPr>
        <w:pStyle w:val="605"/>
        <w:numPr>
          <w:ilvl w:val="0"/>
          <w:numId w:val="23"/>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opao je za </w:t>
      </w:r>
      <w:r>
        <w:rPr>
          <w:rFonts w:ascii="Times New Roman" w:hAnsi="Times New Roman" w:eastAsia="Times New Roman" w:cs="Times New Roman"/>
          <w:b/>
          <w:color w:val="000000"/>
          <w:sz w:val="24"/>
        </w:rPr>
        <w:t xml:space="preserve">20,35%</w:t>
      </w:r>
      <w:r>
        <w:rPr>
          <w:rFonts w:ascii="Times New Roman" w:hAnsi="Times New Roman" w:eastAsia="Times New Roman" w:cs="Times New Roman"/>
          <w:color w:val="000000"/>
          <w:sz w:val="24"/>
        </w:rPr>
        <w:t xml:space="preserve">, dok je broj učenika 1. razreda opao za </w:t>
      </w:r>
      <w:r>
        <w:rPr>
          <w:rFonts w:ascii="Times New Roman" w:hAnsi="Times New Roman" w:eastAsia="Times New Roman" w:cs="Times New Roman"/>
          <w:b/>
          <w:color w:val="000000"/>
          <w:sz w:val="24"/>
        </w:rPr>
        <w:t xml:space="preserve">8,33%</w:t>
      </w:r>
      <w:r>
        <w:rPr>
          <w:rFonts w:ascii="Times New Roman" w:hAnsi="Times New Roman" w:eastAsia="Times New Roman" w:cs="Times New Roman"/>
          <w:color w:val="000000"/>
          <w:sz w:val="24"/>
        </w:rPr>
        <w:t xml:space="preserve">.</w:t>
      </w:r>
      <w:r/>
      <w:r/>
    </w:p>
    <w:p>
      <w:pPr>
        <w:pStyle w:val="605"/>
        <w:numPr>
          <w:ilvl w:val="0"/>
          <w:numId w:val="24"/>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Pad ukupnog broja učenika je značajniji, dok broj prvaka pokazuje relativnu stabilnost, što ukazuje na očuvanje mlađih uzrasta.</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B) Projekcije za 2031. i 2041. godinu:</w:t>
      </w:r>
      <w:r/>
      <w:r/>
    </w:p>
    <w:p>
      <w:pPr>
        <w:pStyle w:val="605"/>
        <w:numPr>
          <w:ilvl w:val="0"/>
          <w:numId w:val="25"/>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Ukupan broj učenika:</w:t>
      </w:r>
      <w:r>
        <w:rPr>
          <w:rFonts w:ascii="Times New Roman" w:hAnsi="Times New Roman" w:eastAsia="Times New Roman" w:cs="Times New Roman"/>
          <w:color w:val="000000"/>
          <w:sz w:val="24"/>
        </w:rPr>
        <w:t xml:space="preserve"> Očekuje se pad na </w:t>
      </w:r>
      <w:r>
        <w:rPr>
          <w:rFonts w:ascii="Times New Roman" w:hAnsi="Times New Roman" w:eastAsia="Times New Roman" w:cs="Times New Roman"/>
          <w:b/>
          <w:color w:val="000000"/>
          <w:sz w:val="24"/>
        </w:rPr>
        <w:t xml:space="preserve">2.051 učenika do 2031. godine</w:t>
      </w:r>
      <w:r>
        <w:rPr>
          <w:rFonts w:ascii="Times New Roman" w:hAnsi="Times New Roman" w:eastAsia="Times New Roman" w:cs="Times New Roman"/>
          <w:color w:val="000000"/>
          <w:sz w:val="24"/>
        </w:rPr>
        <w:t xml:space="preserve"> i </w:t>
      </w:r>
      <w:r>
        <w:rPr>
          <w:rFonts w:ascii="Times New Roman" w:hAnsi="Times New Roman" w:eastAsia="Times New Roman" w:cs="Times New Roman"/>
          <w:b/>
          <w:color w:val="000000"/>
          <w:sz w:val="24"/>
        </w:rPr>
        <w:t xml:space="preserve">1.662 učenika do 2041. godine</w:t>
      </w:r>
      <w:r>
        <w:rPr>
          <w:rFonts w:ascii="Times New Roman" w:hAnsi="Times New Roman" w:eastAsia="Times New Roman" w:cs="Times New Roman"/>
          <w:color w:val="000000"/>
          <w:sz w:val="24"/>
        </w:rPr>
        <w:t xml:space="preserve">.</w:t>
      </w:r>
      <w:r/>
      <w:r/>
    </w:p>
    <w:p>
      <w:pPr>
        <w:pStyle w:val="605"/>
        <w:numPr>
          <w:ilvl w:val="0"/>
          <w:numId w:val="26"/>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Broj učenika 1. razreda:</w:t>
      </w:r>
      <w:r>
        <w:rPr>
          <w:rFonts w:ascii="Times New Roman" w:hAnsi="Times New Roman" w:eastAsia="Times New Roman" w:cs="Times New Roman"/>
          <w:color w:val="000000"/>
          <w:sz w:val="24"/>
        </w:rPr>
        <w:t xml:space="preserve"> Predviđa se blagi pad na </w:t>
      </w:r>
      <w:r>
        <w:rPr>
          <w:rFonts w:ascii="Times New Roman" w:hAnsi="Times New Roman" w:eastAsia="Times New Roman" w:cs="Times New Roman"/>
          <w:b/>
          <w:color w:val="000000"/>
          <w:sz w:val="24"/>
        </w:rPr>
        <w:t xml:space="preserve">288 učenika do 2031. godine</w:t>
      </w:r>
      <w:r>
        <w:rPr>
          <w:rFonts w:ascii="Times New Roman" w:hAnsi="Times New Roman" w:eastAsia="Times New Roman" w:cs="Times New Roman"/>
          <w:color w:val="000000"/>
          <w:sz w:val="24"/>
        </w:rPr>
        <w:t xml:space="preserve"> i </w:t>
      </w:r>
      <w:r>
        <w:rPr>
          <w:rFonts w:ascii="Times New Roman" w:hAnsi="Times New Roman" w:eastAsia="Times New Roman" w:cs="Times New Roman"/>
          <w:b/>
          <w:color w:val="000000"/>
          <w:sz w:val="24"/>
        </w:rPr>
        <w:t xml:space="preserve">262 učenika do 2041. godine</w:t>
      </w:r>
      <w:r>
        <w:rPr>
          <w:rFonts w:ascii="Times New Roman" w:hAnsi="Times New Roman" w:eastAsia="Times New Roman" w:cs="Times New Roman"/>
          <w:color w:val="000000"/>
          <w:sz w:val="24"/>
        </w:rPr>
        <w:t xml:space="preserve">.</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C) Ključni izazovi i preporuke:</w:t>
      </w:r>
      <w:r/>
      <w:r/>
    </w:p>
    <w:p>
      <w:pPr>
        <w:pStyle w:val="605"/>
        <w:numPr>
          <w:ilvl w:val="0"/>
          <w:numId w:val="27"/>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Pad ukupnog broja učenika:</w:t>
      </w:r>
      <w:r>
        <w:rPr>
          <w:rFonts w:ascii="Times New Roman" w:hAnsi="Times New Roman" w:eastAsia="Times New Roman" w:cs="Times New Roman"/>
          <w:color w:val="000000"/>
          <w:sz w:val="24"/>
        </w:rPr>
        <w:t xml:space="preserve"> Potrebne su mere za podršku porodicama i zadržavanje stanovništva u lokalnoj zajednici.</w:t>
      </w:r>
      <w:r/>
      <w:r/>
    </w:p>
    <w:p>
      <w:pPr>
        <w:pStyle w:val="605"/>
        <w:numPr>
          <w:ilvl w:val="0"/>
          <w:numId w:val="28"/>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Stabilnost broja prvaka:</w:t>
      </w:r>
      <w:r>
        <w:rPr>
          <w:rFonts w:ascii="Times New Roman" w:hAnsi="Times New Roman" w:eastAsia="Times New Roman" w:cs="Times New Roman"/>
          <w:color w:val="000000"/>
          <w:sz w:val="24"/>
        </w:rPr>
        <w:t xml:space="preserve"> Fokusirati se na očuvanje pozitivnih trendova u mlađim uzrastima kroz unapređenje obrazovnih i infrastrukturnih kapaciteta.</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D) Opšti zaključak:</w:t>
      </w:r>
      <w:r/>
      <w:r/>
    </w:p>
    <w:p>
      <w:r>
        <w:rPr>
          <w:rFonts w:ascii="Times New Roman" w:hAnsi="Times New Roman" w:eastAsia="Times New Roman" w:cs="Times New Roman"/>
          <w:color w:val="000000"/>
          <w:sz w:val="24"/>
        </w:rPr>
        <w:t xml:space="preserve">Sjenica beleži postepen pad ukupnog broja učenika, dok broj učenika 1. razreda pokazuje relativnu stabilnost. Održavanje broja prvaka je pozitivan signal, ali će smanjenje ukupnog broja učenika zahtevati prilagođavanje školske mreže i demografskih politika</w:t>
      </w:r>
      <w:r>
        <w:rPr>
          <w:rFonts w:ascii="Times New Roman" w:hAnsi="Times New Roman" w:eastAsia="Times New Roman" w:cs="Times New Roman"/>
          <w:color w:val="000000"/>
          <w:sz w:val="24"/>
        </w:rPr>
        <w:t xml:space="preserve"> u narednim decenijama.</w:t>
      </w:r>
      <w:r/>
      <w:r/>
      <w:r/>
      <w:r/>
    </w:p>
    <w:sectPr>
      <w:headerReference w:type="default" r:id="rId9"/>
      <w:footerReference w:type="default" r:id="rId10"/>
      <w:footnotePr/>
      <w:endnotePr/>
      <w:type w:val="nextPage"/>
      <w:pgSz w:w="11906" w:h="16838" w:orient="portrait"/>
      <w:pgMar w:top="992" w:right="850" w:bottom="1134" w:left="1701" w:header="425"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jc w:val="right"/>
    </w:pPr>
    <w:fldSimple w:instr="PAGE \* MERGEFORMAT">
      <w:r>
        <w:t xml:space="preserve">1</w:t>
      </w:r>
    </w:fldSimple>
    <w:r/>
    <w:r/>
  </w:p>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7546" name=""/>
                      <pic:cNvPicPr>
                        <a:picLocks noChangeAspect="1"/>
                      </pic:cNvPicPr>
                      <pic:nvPr/>
                    </pic:nvPicPr>
                    <pic:blipFill>
                      <a:blip r:embed="rId1"/>
                      <a:srcRect l="0" t="37655" r="0" b="39089"/>
                      <a:stretch/>
                    </pic:blipFill>
                    <pic:spPr bwMode="auto">
                      <a:xfrm flipH="0" flipV="0">
                        <a:off x="0" y="0"/>
                        <a:ext cx="759162" cy="176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49917" name=""/>
                      <pic:cNvPicPr>
                        <a:picLocks noChangeAspect="1"/>
                      </pic:cNvPicPr>
                      <pic:nvPr/>
                    </pic:nvPicPr>
                    <pic:blipFill>
                      <a:blip r:embed="rId2"/>
                      <a:srcRect l="17992" t="28202" r="17670" b="36962"/>
                      <a:stretch/>
                    </pic:blipFill>
                    <pic:spPr bwMode="auto">
                      <a:xfrm flipH="0" flipV="0">
                        <a:off x="0" y="0"/>
                        <a:ext cx="344574" cy="18657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paragraph" w:styleId="601" w:default="1">
    <w:name w:val="Normal"/>
    <w:qFormat/>
  </w:style>
  <w:style w:type="table" w:styleId="602" w:default="1">
    <w:name w:val="Normal Table"/>
    <w:uiPriority w:val="99"/>
    <w:semiHidden/>
    <w:unhideWhenUsed/>
    <w:tblPr>
      <w:tblInd w:w="0" w:type="dxa"/>
      <w:tblCellMar>
        <w:left w:w="108" w:type="dxa"/>
        <w:top w:w="0" w:type="dxa"/>
        <w:right w:w="108" w:type="dxa"/>
        <w:bottom w:w="0" w:type="dxa"/>
      </w:tblCellMar>
    </w:tblPr>
  </w:style>
  <w:style w:type="numbering" w:styleId="603" w:default="1">
    <w:name w:val="No List"/>
    <w:uiPriority w:val="99"/>
    <w:semiHidden/>
    <w:unhideWhenUsed/>
  </w:style>
  <w:style w:type="paragraph" w:styleId="604">
    <w:name w:val="No Spacing"/>
    <w:basedOn w:val="601"/>
    <w:uiPriority w:val="1"/>
    <w:qFormat/>
    <w:pPr>
      <w:spacing w:after="0" w:line="240" w:lineRule="auto"/>
    </w:pPr>
  </w:style>
  <w:style w:type="paragraph" w:styleId="605">
    <w:name w:val="List Paragraph"/>
    <w:basedOn w:val="601"/>
    <w:uiPriority w:val="34"/>
    <w:qFormat/>
    <w:pPr>
      <w:contextualSpacing/>
      <w:ind w:left="720"/>
    </w:pPr>
  </w:style>
  <w:style w:type="character" w:styleId="610"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2025-01-09T14:40:12Z</dcterms:modified>
</cp:coreProperties>
</file>